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8"/>
      </w:tblGrid>
      <w:tr w:rsidR="006E5464" w:rsidRPr="0007587C" w14:paraId="0224E995" w14:textId="77777777" w:rsidTr="005009BF">
        <w:trPr>
          <w:trHeight w:val="375"/>
        </w:trPr>
        <w:tc>
          <w:tcPr>
            <w:tcW w:w="5000" w:type="pct"/>
            <w:tcBorders>
              <w:top w:val="nil"/>
              <w:left w:val="nil"/>
              <w:bottom w:val="nil"/>
              <w:right w:val="nil"/>
            </w:tcBorders>
            <w:noWrap/>
            <w:vAlign w:val="bottom"/>
          </w:tcPr>
          <w:p w14:paraId="033ACF07" w14:textId="45D8ED52" w:rsidR="006E5464" w:rsidRPr="0007587C" w:rsidRDefault="00F969A9" w:rsidP="006A3D2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PHỤ BIỂU 01:</w:t>
            </w:r>
            <w:r w:rsidR="00007EFA">
              <w:rPr>
                <w:rFonts w:ascii="Times New Roman" w:hAnsi="Times New Roman" w:cs="Times New Roman"/>
                <w:b/>
                <w:bCs/>
                <w:sz w:val="28"/>
                <w:szCs w:val="28"/>
              </w:rPr>
              <w:t xml:space="preserve"> </w:t>
            </w:r>
            <w:r w:rsidR="006E5464" w:rsidRPr="0007587C">
              <w:rPr>
                <w:rFonts w:ascii="Times New Roman" w:hAnsi="Times New Roman" w:cs="Times New Roman"/>
                <w:b/>
                <w:bCs/>
                <w:sz w:val="28"/>
                <w:szCs w:val="28"/>
              </w:rPr>
              <w:t xml:space="preserve">BẢNG TỔNG HỢP PHƯƠNG ÁN BỒI THƯỜNG, HỖ TRỢ </w:t>
            </w:r>
          </w:p>
        </w:tc>
      </w:tr>
      <w:tr w:rsidR="006E5464" w:rsidRPr="0007587C" w14:paraId="6F550592" w14:textId="77777777" w:rsidTr="005009BF">
        <w:trPr>
          <w:trHeight w:val="375"/>
        </w:trPr>
        <w:tc>
          <w:tcPr>
            <w:tcW w:w="5000" w:type="pct"/>
            <w:tcBorders>
              <w:top w:val="nil"/>
              <w:left w:val="nil"/>
              <w:bottom w:val="nil"/>
              <w:right w:val="nil"/>
            </w:tcBorders>
            <w:noWrap/>
            <w:vAlign w:val="bottom"/>
          </w:tcPr>
          <w:p w14:paraId="08EED370" w14:textId="5C02C046" w:rsidR="006E5464" w:rsidRDefault="006E5464" w:rsidP="006E5464">
            <w:pPr>
              <w:spacing w:after="0"/>
              <w:jc w:val="center"/>
              <w:rPr>
                <w:rFonts w:ascii="Times New Roman" w:eastAsia="Times New Roman" w:hAnsi="Times New Roman" w:cs="Times New Roman"/>
                <w:b/>
                <w:bCs/>
                <w:color w:val="000000"/>
                <w:sz w:val="28"/>
                <w:szCs w:val="28"/>
              </w:rPr>
            </w:pPr>
            <w:r w:rsidRPr="0007587C">
              <w:rPr>
                <w:rFonts w:ascii="Times New Roman" w:hAnsi="Times New Roman" w:cs="Times New Roman"/>
                <w:b/>
                <w:bCs/>
                <w:sz w:val="28"/>
                <w:szCs w:val="28"/>
              </w:rPr>
              <w:t xml:space="preserve"> Khi Nhà nước thu hồi đất để thực </w:t>
            </w:r>
            <w:r w:rsidRPr="00CC4F4D">
              <w:rPr>
                <w:rFonts w:ascii="Times New Roman" w:hAnsi="Times New Roman" w:cs="Times New Roman"/>
                <w:b/>
                <w:bCs/>
                <w:sz w:val="28"/>
                <w:szCs w:val="28"/>
              </w:rPr>
              <w:t xml:space="preserve">hiện dự án: </w:t>
            </w:r>
            <w:r w:rsidR="00CC4F4D" w:rsidRPr="00CC4F4D">
              <w:rPr>
                <w:rStyle w:val="fontstyle01"/>
                <w:b/>
              </w:rPr>
              <w:t>Đầu tư xây dựng tuyến đường tránh ĐT.226 (Đoạn qua thị trấn Bình Gia, Văn Mịch) và Khu tái định cư, dân cư thị trấn Bình Gia (</w:t>
            </w:r>
            <w:r w:rsidR="0030255D">
              <w:rPr>
                <w:rStyle w:val="fontstyle01"/>
                <w:b/>
              </w:rPr>
              <w:t>Địa bàn xã Bình Gia</w:t>
            </w:r>
            <w:r w:rsidR="00CC4F4D" w:rsidRPr="00CC4F4D">
              <w:rPr>
                <w:rStyle w:val="fontstyle01"/>
                <w:b/>
              </w:rPr>
              <w:t xml:space="preserve">) </w:t>
            </w:r>
            <w:r w:rsidR="00CC4F4D" w:rsidRPr="00CC4F4D">
              <w:rPr>
                <w:rFonts w:ascii="Times New Roman" w:hAnsi="Times New Roman" w:cs="Times New Roman"/>
                <w:b/>
                <w:sz w:val="28"/>
                <w:szCs w:val="28"/>
                <w:lang w:val="da-DK"/>
              </w:rPr>
              <w:t>- đợt 1</w:t>
            </w:r>
          </w:p>
          <w:p w14:paraId="739E7472" w14:textId="6E5DD26D" w:rsidR="006E5464" w:rsidRDefault="006E5464" w:rsidP="00CD2715">
            <w:pPr>
              <w:jc w:val="center"/>
              <w:rPr>
                <w:rFonts w:ascii="Times New Roman" w:hAnsi="Times New Roman" w:cs="Times New Roman"/>
                <w:i/>
                <w:iCs/>
                <w:sz w:val="28"/>
                <w:szCs w:val="28"/>
              </w:rPr>
            </w:pPr>
            <w:r w:rsidRPr="001031F4">
              <w:rPr>
                <w:rFonts w:ascii="Times New Roman" w:hAnsi="Times New Roman" w:cs="Times New Roman"/>
                <w:i/>
                <w:iCs/>
                <w:sz w:val="28"/>
                <w:szCs w:val="28"/>
              </w:rPr>
              <w:t xml:space="preserve">(Kèm theo </w:t>
            </w:r>
            <w:r w:rsidR="003F345E">
              <w:rPr>
                <w:rFonts w:ascii="Times New Roman" w:hAnsi="Times New Roman" w:cs="Times New Roman"/>
                <w:i/>
                <w:iCs/>
                <w:sz w:val="28"/>
                <w:szCs w:val="28"/>
              </w:rPr>
              <w:t>Quyết định</w:t>
            </w:r>
            <w:r w:rsidRPr="001031F4">
              <w:rPr>
                <w:rFonts w:ascii="Times New Roman" w:hAnsi="Times New Roman" w:cs="Times New Roman"/>
                <w:i/>
                <w:iCs/>
                <w:sz w:val="28"/>
                <w:szCs w:val="28"/>
              </w:rPr>
              <w:t xml:space="preserve"> số</w:t>
            </w:r>
            <w:r w:rsidR="005009BF">
              <w:rPr>
                <w:rFonts w:ascii="Times New Roman" w:hAnsi="Times New Roman" w:cs="Times New Roman"/>
                <w:i/>
                <w:iCs/>
                <w:sz w:val="28"/>
                <w:szCs w:val="28"/>
              </w:rPr>
              <w:t>:</w:t>
            </w:r>
            <w:bookmarkStart w:id="0" w:name="_GoBack"/>
            <w:bookmarkEnd w:id="0"/>
            <w:r w:rsidRPr="001031F4">
              <w:rPr>
                <w:rFonts w:ascii="Times New Roman" w:hAnsi="Times New Roman" w:cs="Times New Roman"/>
                <w:i/>
                <w:iCs/>
                <w:sz w:val="28"/>
                <w:szCs w:val="28"/>
              </w:rPr>
              <w:t xml:space="preserve"> </w:t>
            </w:r>
            <w:r w:rsidR="003F345E">
              <w:rPr>
                <w:rFonts w:ascii="Times New Roman" w:hAnsi="Times New Roman" w:cs="Times New Roman"/>
                <w:i/>
                <w:iCs/>
                <w:sz w:val="28"/>
                <w:szCs w:val="28"/>
              </w:rPr>
              <w:t xml:space="preserve">  </w:t>
            </w:r>
            <w:r w:rsidR="009A4B45">
              <w:rPr>
                <w:rFonts w:ascii="Times New Roman" w:hAnsi="Times New Roman" w:cs="Times New Roman"/>
                <w:i/>
                <w:iCs/>
                <w:sz w:val="28"/>
                <w:szCs w:val="28"/>
              </w:rPr>
              <w:t xml:space="preserve">   </w:t>
            </w:r>
            <w:r w:rsidR="003F345E">
              <w:rPr>
                <w:rFonts w:ascii="Times New Roman" w:hAnsi="Times New Roman" w:cs="Times New Roman"/>
                <w:i/>
                <w:iCs/>
                <w:sz w:val="28"/>
                <w:szCs w:val="28"/>
              </w:rPr>
              <w:t xml:space="preserve"> </w:t>
            </w:r>
            <w:r w:rsidRPr="001031F4">
              <w:rPr>
                <w:rFonts w:ascii="Times New Roman" w:hAnsi="Times New Roman" w:cs="Times New Roman"/>
                <w:i/>
                <w:iCs/>
                <w:sz w:val="28"/>
                <w:szCs w:val="28"/>
              </w:rPr>
              <w:t>/</w:t>
            </w:r>
            <w:r w:rsidR="003F345E">
              <w:rPr>
                <w:rFonts w:ascii="Times New Roman" w:hAnsi="Times New Roman" w:cs="Times New Roman"/>
                <w:i/>
                <w:iCs/>
                <w:sz w:val="28"/>
                <w:szCs w:val="28"/>
              </w:rPr>
              <w:t>QĐ-UBND</w:t>
            </w:r>
            <w:r w:rsidRPr="001031F4">
              <w:rPr>
                <w:rFonts w:ascii="Times New Roman" w:hAnsi="Times New Roman" w:cs="Times New Roman"/>
                <w:i/>
                <w:iCs/>
                <w:sz w:val="28"/>
                <w:szCs w:val="28"/>
              </w:rPr>
              <w:t xml:space="preserve"> ngày  </w:t>
            </w:r>
            <w:r w:rsidR="009A4B45">
              <w:rPr>
                <w:rFonts w:ascii="Times New Roman" w:hAnsi="Times New Roman" w:cs="Times New Roman"/>
                <w:i/>
                <w:iCs/>
                <w:sz w:val="28"/>
                <w:szCs w:val="28"/>
              </w:rPr>
              <w:t xml:space="preserve">   </w:t>
            </w:r>
            <w:r w:rsidR="00CD2715">
              <w:rPr>
                <w:rFonts w:ascii="Times New Roman" w:hAnsi="Times New Roman" w:cs="Times New Roman"/>
                <w:i/>
                <w:iCs/>
                <w:sz w:val="28"/>
                <w:szCs w:val="28"/>
              </w:rPr>
              <w:t xml:space="preserve">tháng </w:t>
            </w:r>
            <w:r w:rsidR="006A3D26">
              <w:rPr>
                <w:rFonts w:ascii="Times New Roman" w:hAnsi="Times New Roman" w:cs="Times New Roman"/>
                <w:i/>
                <w:iCs/>
                <w:sz w:val="28"/>
                <w:szCs w:val="28"/>
              </w:rPr>
              <w:t>6</w:t>
            </w:r>
            <w:r w:rsidR="00CD2715">
              <w:rPr>
                <w:rFonts w:ascii="Times New Roman" w:hAnsi="Times New Roman" w:cs="Times New Roman"/>
                <w:i/>
                <w:iCs/>
                <w:sz w:val="28"/>
                <w:szCs w:val="28"/>
              </w:rPr>
              <w:t xml:space="preserve">  năm 2026</w:t>
            </w:r>
            <w:r w:rsidRPr="001031F4">
              <w:rPr>
                <w:rFonts w:ascii="Times New Roman" w:hAnsi="Times New Roman" w:cs="Times New Roman"/>
                <w:i/>
                <w:iCs/>
                <w:sz w:val="28"/>
                <w:szCs w:val="28"/>
              </w:rPr>
              <w:t xml:space="preserve"> của</w:t>
            </w:r>
            <w:r w:rsidR="009C5863">
              <w:rPr>
                <w:rFonts w:ascii="Times New Roman" w:hAnsi="Times New Roman" w:cs="Times New Roman"/>
                <w:i/>
                <w:iCs/>
                <w:sz w:val="28"/>
                <w:szCs w:val="28"/>
              </w:rPr>
              <w:t xml:space="preserve"> Chủ tịch</w:t>
            </w:r>
            <w:r w:rsidRPr="001031F4">
              <w:rPr>
                <w:rFonts w:ascii="Times New Roman" w:hAnsi="Times New Roman" w:cs="Times New Roman"/>
                <w:i/>
                <w:iCs/>
                <w:sz w:val="28"/>
                <w:szCs w:val="28"/>
              </w:rPr>
              <w:t xml:space="preserve"> </w:t>
            </w:r>
            <w:r w:rsidR="00FB3F99">
              <w:rPr>
                <w:rFonts w:ascii="Times New Roman" w:hAnsi="Times New Roman" w:cs="Times New Roman"/>
                <w:i/>
                <w:iCs/>
                <w:sz w:val="28"/>
                <w:szCs w:val="28"/>
              </w:rPr>
              <w:t>UBND</w:t>
            </w:r>
            <w:r w:rsidR="001A7F95">
              <w:rPr>
                <w:rFonts w:ascii="Times New Roman" w:hAnsi="Times New Roman" w:cs="Times New Roman"/>
                <w:i/>
                <w:iCs/>
                <w:sz w:val="28"/>
                <w:szCs w:val="28"/>
              </w:rPr>
              <w:t xml:space="preserve"> xã</w:t>
            </w:r>
            <w:r w:rsidR="00AC5D69">
              <w:rPr>
                <w:rFonts w:ascii="Times New Roman" w:hAnsi="Times New Roman" w:cs="Times New Roman"/>
                <w:i/>
                <w:iCs/>
                <w:sz w:val="28"/>
                <w:szCs w:val="28"/>
              </w:rPr>
              <w:t xml:space="preserve"> </w:t>
            </w:r>
            <w:r w:rsidR="00CD2715">
              <w:rPr>
                <w:rFonts w:ascii="Times New Roman" w:hAnsi="Times New Roman" w:cs="Times New Roman"/>
                <w:i/>
                <w:iCs/>
                <w:sz w:val="28"/>
                <w:szCs w:val="28"/>
              </w:rPr>
              <w:t>Bình Gia</w:t>
            </w:r>
            <w:r w:rsidRPr="001031F4">
              <w:rPr>
                <w:rFonts w:ascii="Times New Roman" w:hAnsi="Times New Roman" w:cs="Times New Roman"/>
                <w:i/>
                <w:iCs/>
                <w:sz w:val="28"/>
                <w:szCs w:val="28"/>
              </w:rPr>
              <w:t>)</w:t>
            </w:r>
          </w:p>
          <w:p w14:paraId="51BB2379" w14:textId="77777777" w:rsidR="006B049F" w:rsidRDefault="006B049F" w:rsidP="006B049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Hộ ông: </w:t>
            </w:r>
            <w:r w:rsidRPr="006B049F">
              <w:rPr>
                <w:rFonts w:ascii="Times New Roman" w:eastAsia="Times New Roman" w:hAnsi="Times New Roman" w:cs="Times New Roman"/>
                <w:b/>
                <w:sz w:val="28"/>
                <w:szCs w:val="28"/>
              </w:rPr>
              <w:t>Bàn Tiến Cường,</w:t>
            </w:r>
            <w:r>
              <w:rPr>
                <w:rFonts w:ascii="Times New Roman" w:eastAsia="Times New Roman" w:hAnsi="Times New Roman" w:cs="Times New Roman"/>
                <w:sz w:val="28"/>
                <w:szCs w:val="28"/>
              </w:rPr>
              <w:t xml:space="preserve"> </w:t>
            </w:r>
          </w:p>
          <w:p w14:paraId="5D21A8C9" w14:textId="134CBEB6" w:rsidR="006B049F" w:rsidRPr="0007587C" w:rsidRDefault="006B049F" w:rsidP="006B049F">
            <w:pPr>
              <w:rPr>
                <w:rFonts w:ascii="Times New Roman" w:hAnsi="Times New Roman" w:cs="Times New Roman"/>
                <w:b/>
                <w:bCs/>
                <w:sz w:val="28"/>
                <w:szCs w:val="28"/>
              </w:rPr>
            </w:pPr>
            <w:r w:rsidRPr="006B049F">
              <w:rPr>
                <w:rFonts w:ascii="Times New Roman" w:eastAsia="Times New Roman" w:hAnsi="Times New Roman" w:cs="Times New Roman"/>
                <w:sz w:val="28"/>
                <w:szCs w:val="28"/>
              </w:rPr>
              <w:t>Địa chỉ thường trú: Thôn Ngọc Quyến, xã Bình Gia, tỉnh Lạng Sơn.</w:t>
            </w:r>
            <w:r w:rsidRPr="006B049F">
              <w:rPr>
                <w:rFonts w:ascii="Times New Roman" w:eastAsia="Times New Roman" w:hAnsi="Times New Roman" w:cs="Times New Roman"/>
                <w:sz w:val="28"/>
                <w:szCs w:val="28"/>
              </w:rPr>
              <w:br/>
              <w:t>Nơi ở: Thôn Ngọc Quyến, xã Bình Gia, tỉnh Lạng Sơn.</w:t>
            </w:r>
          </w:p>
        </w:tc>
      </w:tr>
      <w:tr w:rsidR="006B049F" w:rsidRPr="0007587C" w14:paraId="3239BD69" w14:textId="77777777" w:rsidTr="005009BF">
        <w:trPr>
          <w:trHeight w:val="375"/>
        </w:trPr>
        <w:tc>
          <w:tcPr>
            <w:tcW w:w="5000" w:type="pct"/>
            <w:tcBorders>
              <w:top w:val="nil"/>
              <w:left w:val="nil"/>
              <w:bottom w:val="nil"/>
              <w:right w:val="nil"/>
            </w:tcBorders>
            <w:noWrap/>
            <w:vAlign w:val="bottom"/>
          </w:tcPr>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996"/>
              <w:gridCol w:w="1436"/>
              <w:gridCol w:w="1417"/>
              <w:gridCol w:w="1297"/>
              <w:gridCol w:w="1417"/>
              <w:gridCol w:w="691"/>
              <w:gridCol w:w="1297"/>
              <w:gridCol w:w="1417"/>
              <w:gridCol w:w="659"/>
              <w:gridCol w:w="881"/>
            </w:tblGrid>
            <w:tr w:rsidR="00793EA3" w:rsidRPr="002763C3" w14:paraId="3C91750F" w14:textId="77777777" w:rsidTr="005009BF">
              <w:trPr>
                <w:trHeight w:val="495"/>
              </w:trPr>
              <w:tc>
                <w:tcPr>
                  <w:tcW w:w="313" w:type="pct"/>
                  <w:vMerge w:val="restart"/>
                  <w:shd w:val="clear" w:color="auto" w:fill="auto"/>
                  <w:vAlign w:val="center"/>
                  <w:hideMark/>
                </w:tcPr>
                <w:p w14:paraId="1243F41A" w14:textId="77777777" w:rsidR="006B049F" w:rsidRPr="002763C3" w:rsidRDefault="006B049F" w:rsidP="006B049F">
                  <w:pPr>
                    <w:framePr w:hSpace="180" w:wrap="around" w:hAnchor="margin" w:y="-516"/>
                    <w:spacing w:after="0" w:line="240" w:lineRule="auto"/>
                    <w:jc w:val="center"/>
                    <w:rPr>
                      <w:rFonts w:ascii="Times New Roman" w:eastAsia="Times New Roman" w:hAnsi="Times New Roman" w:cs="Times New Roman"/>
                      <w:b/>
                      <w:bCs/>
                    </w:rPr>
                  </w:pPr>
                  <w:r w:rsidRPr="002763C3">
                    <w:rPr>
                      <w:rFonts w:ascii="Times New Roman" w:eastAsia="Times New Roman" w:hAnsi="Times New Roman" w:cs="Times New Roman"/>
                      <w:b/>
                      <w:bCs/>
                    </w:rPr>
                    <w:t>STT</w:t>
                  </w:r>
                </w:p>
              </w:tc>
              <w:tc>
                <w:tcPr>
                  <w:tcW w:w="748" w:type="pct"/>
                  <w:vMerge w:val="restart"/>
                  <w:shd w:val="clear" w:color="auto" w:fill="auto"/>
                  <w:vAlign w:val="center"/>
                  <w:hideMark/>
                </w:tcPr>
                <w:p w14:paraId="53F832BB" w14:textId="77777777" w:rsidR="006B049F" w:rsidRPr="002763C3" w:rsidRDefault="006B049F" w:rsidP="006B049F">
                  <w:pPr>
                    <w:framePr w:hSpace="180" w:wrap="around" w:hAnchor="margin" w:y="-516"/>
                    <w:spacing w:after="0" w:line="240" w:lineRule="auto"/>
                    <w:jc w:val="center"/>
                    <w:rPr>
                      <w:rFonts w:ascii="Times New Roman" w:eastAsia="Times New Roman" w:hAnsi="Times New Roman" w:cs="Times New Roman"/>
                      <w:b/>
                      <w:bCs/>
                    </w:rPr>
                  </w:pPr>
                  <w:r w:rsidRPr="002763C3">
                    <w:rPr>
                      <w:rFonts w:ascii="Times New Roman" w:eastAsia="Times New Roman" w:hAnsi="Times New Roman" w:cs="Times New Roman"/>
                      <w:b/>
                      <w:bCs/>
                    </w:rPr>
                    <w:t>Họ và tên/ Địa chỉ của người được bồi thường, hỗ trợ</w:t>
                  </w:r>
                </w:p>
              </w:tc>
              <w:tc>
                <w:tcPr>
                  <w:tcW w:w="538" w:type="pct"/>
                  <w:vMerge w:val="restart"/>
                  <w:shd w:val="clear" w:color="auto" w:fill="auto"/>
                  <w:vAlign w:val="center"/>
                  <w:hideMark/>
                </w:tcPr>
                <w:p w14:paraId="73BF0CFE" w14:textId="77777777" w:rsidR="006B049F" w:rsidRPr="002763C3" w:rsidRDefault="006B049F" w:rsidP="006B049F">
                  <w:pPr>
                    <w:framePr w:hSpace="180" w:wrap="around" w:hAnchor="margin" w:y="-516"/>
                    <w:spacing w:after="0" w:line="240" w:lineRule="auto"/>
                    <w:jc w:val="center"/>
                    <w:rPr>
                      <w:rFonts w:ascii="Times New Roman" w:eastAsia="Times New Roman" w:hAnsi="Times New Roman" w:cs="Times New Roman"/>
                      <w:b/>
                      <w:bCs/>
                    </w:rPr>
                  </w:pPr>
                  <w:r w:rsidRPr="002763C3">
                    <w:rPr>
                      <w:rFonts w:ascii="Times New Roman" w:eastAsia="Times New Roman" w:hAnsi="Times New Roman" w:cs="Times New Roman"/>
                      <w:b/>
                      <w:bCs/>
                    </w:rPr>
                    <w:t>Tổng cộng</w:t>
                  </w:r>
                </w:p>
              </w:tc>
              <w:tc>
                <w:tcPr>
                  <w:tcW w:w="1547" w:type="pct"/>
                  <w:gridSpan w:val="3"/>
                  <w:shd w:val="clear" w:color="auto" w:fill="auto"/>
                  <w:vAlign w:val="center"/>
                  <w:hideMark/>
                </w:tcPr>
                <w:p w14:paraId="03625D0B" w14:textId="77777777" w:rsidR="006B049F" w:rsidRPr="002763C3" w:rsidRDefault="006B049F" w:rsidP="006B049F">
                  <w:pPr>
                    <w:framePr w:hSpace="180" w:wrap="around" w:hAnchor="margin" w:y="-516"/>
                    <w:spacing w:after="0" w:line="240" w:lineRule="auto"/>
                    <w:jc w:val="center"/>
                    <w:rPr>
                      <w:rFonts w:ascii="Times New Roman" w:eastAsia="Times New Roman" w:hAnsi="Times New Roman" w:cs="Times New Roman"/>
                      <w:b/>
                      <w:bCs/>
                    </w:rPr>
                  </w:pPr>
                  <w:r w:rsidRPr="002763C3">
                    <w:rPr>
                      <w:rFonts w:ascii="Times New Roman" w:eastAsia="Times New Roman" w:hAnsi="Times New Roman" w:cs="Times New Roman"/>
                      <w:b/>
                      <w:bCs/>
                    </w:rPr>
                    <w:t>Bồi thường</w:t>
                  </w:r>
                </w:p>
              </w:tc>
              <w:tc>
                <w:tcPr>
                  <w:tcW w:w="1854" w:type="pct"/>
                  <w:gridSpan w:val="5"/>
                  <w:shd w:val="clear" w:color="auto" w:fill="auto"/>
                  <w:vAlign w:val="center"/>
                  <w:hideMark/>
                </w:tcPr>
                <w:p w14:paraId="6F9830B5" w14:textId="77777777" w:rsidR="006B049F" w:rsidRPr="002763C3" w:rsidRDefault="006B049F" w:rsidP="006B049F">
                  <w:pPr>
                    <w:framePr w:hSpace="180" w:wrap="around" w:hAnchor="margin" w:y="-516"/>
                    <w:spacing w:after="0" w:line="240" w:lineRule="auto"/>
                    <w:jc w:val="center"/>
                    <w:rPr>
                      <w:rFonts w:ascii="Times New Roman" w:eastAsia="Times New Roman" w:hAnsi="Times New Roman" w:cs="Times New Roman"/>
                      <w:b/>
                      <w:bCs/>
                    </w:rPr>
                  </w:pPr>
                  <w:r w:rsidRPr="002763C3">
                    <w:rPr>
                      <w:rFonts w:ascii="Times New Roman" w:eastAsia="Times New Roman" w:hAnsi="Times New Roman" w:cs="Times New Roman"/>
                      <w:b/>
                      <w:bCs/>
                    </w:rPr>
                    <w:t>Hỗ trợ</w:t>
                  </w:r>
                </w:p>
              </w:tc>
            </w:tr>
            <w:tr w:rsidR="00793EA3" w:rsidRPr="002763C3" w14:paraId="70D7B7DC" w14:textId="77777777" w:rsidTr="005009BF">
              <w:trPr>
                <w:trHeight w:val="585"/>
              </w:trPr>
              <w:tc>
                <w:tcPr>
                  <w:tcW w:w="313" w:type="pct"/>
                  <w:vMerge/>
                  <w:vAlign w:val="center"/>
                  <w:hideMark/>
                </w:tcPr>
                <w:p w14:paraId="33448A1B" w14:textId="77777777" w:rsidR="006B049F" w:rsidRPr="002763C3" w:rsidRDefault="006B049F" w:rsidP="006B049F">
                  <w:pPr>
                    <w:framePr w:hSpace="180" w:wrap="around" w:hAnchor="margin" w:y="-516"/>
                    <w:spacing w:after="0" w:line="240" w:lineRule="auto"/>
                    <w:rPr>
                      <w:rFonts w:ascii="Times New Roman" w:eastAsia="Times New Roman" w:hAnsi="Times New Roman" w:cs="Times New Roman"/>
                      <w:b/>
                      <w:bCs/>
                    </w:rPr>
                  </w:pPr>
                </w:p>
              </w:tc>
              <w:tc>
                <w:tcPr>
                  <w:tcW w:w="748" w:type="pct"/>
                  <w:vMerge/>
                  <w:vAlign w:val="center"/>
                  <w:hideMark/>
                </w:tcPr>
                <w:p w14:paraId="6772F67D" w14:textId="77777777" w:rsidR="006B049F" w:rsidRPr="002763C3" w:rsidRDefault="006B049F" w:rsidP="006B049F">
                  <w:pPr>
                    <w:framePr w:hSpace="180" w:wrap="around" w:hAnchor="margin" w:y="-516"/>
                    <w:spacing w:after="0" w:line="240" w:lineRule="auto"/>
                    <w:rPr>
                      <w:rFonts w:ascii="Times New Roman" w:eastAsia="Times New Roman" w:hAnsi="Times New Roman" w:cs="Times New Roman"/>
                      <w:b/>
                      <w:bCs/>
                    </w:rPr>
                  </w:pPr>
                </w:p>
              </w:tc>
              <w:tc>
                <w:tcPr>
                  <w:tcW w:w="538" w:type="pct"/>
                  <w:vMerge/>
                  <w:vAlign w:val="center"/>
                  <w:hideMark/>
                </w:tcPr>
                <w:p w14:paraId="4066FA98" w14:textId="77777777" w:rsidR="006B049F" w:rsidRPr="002763C3" w:rsidRDefault="006B049F" w:rsidP="006B049F">
                  <w:pPr>
                    <w:framePr w:hSpace="180" w:wrap="around" w:hAnchor="margin" w:y="-516"/>
                    <w:spacing w:after="0" w:line="240" w:lineRule="auto"/>
                    <w:rPr>
                      <w:rFonts w:ascii="Times New Roman" w:eastAsia="Times New Roman" w:hAnsi="Times New Roman" w:cs="Times New Roman"/>
                      <w:b/>
                      <w:bCs/>
                    </w:rPr>
                  </w:pPr>
                </w:p>
              </w:tc>
              <w:tc>
                <w:tcPr>
                  <w:tcW w:w="531" w:type="pct"/>
                  <w:vMerge w:val="restart"/>
                  <w:shd w:val="clear" w:color="auto" w:fill="auto"/>
                  <w:vAlign w:val="center"/>
                  <w:hideMark/>
                </w:tcPr>
                <w:p w14:paraId="49A8633F"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Bồi thường đất</w:t>
                  </w:r>
                </w:p>
              </w:tc>
              <w:tc>
                <w:tcPr>
                  <w:tcW w:w="486" w:type="pct"/>
                  <w:vMerge w:val="restart"/>
                  <w:shd w:val="clear" w:color="auto" w:fill="auto"/>
                  <w:vAlign w:val="center"/>
                  <w:hideMark/>
                </w:tcPr>
                <w:p w14:paraId="5BF45368"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Bồi thường cây trồng</w:t>
                  </w:r>
                </w:p>
              </w:tc>
              <w:tc>
                <w:tcPr>
                  <w:tcW w:w="531" w:type="pct"/>
                  <w:vMerge w:val="restart"/>
                  <w:shd w:val="clear" w:color="auto" w:fill="auto"/>
                  <w:vAlign w:val="center"/>
                  <w:hideMark/>
                </w:tcPr>
                <w:p w14:paraId="4730AFB9"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Bồi thường vật, kiến trúc</w:t>
                  </w:r>
                </w:p>
              </w:tc>
              <w:tc>
                <w:tcPr>
                  <w:tcW w:w="259" w:type="pct"/>
                  <w:vMerge w:val="restart"/>
                  <w:shd w:val="clear" w:color="auto" w:fill="auto"/>
                  <w:vAlign w:val="center"/>
                  <w:hideMark/>
                </w:tcPr>
                <w:p w14:paraId="31D2181C"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Hỗ trợ tái định cư khi Nhà nước thu hồi đất</w:t>
                  </w:r>
                </w:p>
              </w:tc>
              <w:tc>
                <w:tcPr>
                  <w:tcW w:w="486" w:type="pct"/>
                  <w:vMerge w:val="restart"/>
                  <w:shd w:val="clear" w:color="auto" w:fill="auto"/>
                  <w:vAlign w:val="center"/>
                  <w:hideMark/>
                </w:tcPr>
                <w:p w14:paraId="63F3C415"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Hỗ trợ ổn định đời sống và sản xuất</w:t>
                  </w:r>
                </w:p>
              </w:tc>
              <w:tc>
                <w:tcPr>
                  <w:tcW w:w="531" w:type="pct"/>
                  <w:vMerge w:val="restart"/>
                  <w:shd w:val="clear" w:color="auto" w:fill="auto"/>
                  <w:vAlign w:val="center"/>
                  <w:hideMark/>
                </w:tcPr>
                <w:p w14:paraId="19B658A3"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Hỗ trợ đào tạo, chuyển đổi nghề và tìm kiếm việc làm</w:t>
                  </w:r>
                </w:p>
              </w:tc>
              <w:tc>
                <w:tcPr>
                  <w:tcW w:w="579" w:type="pct"/>
                  <w:gridSpan w:val="2"/>
                  <w:shd w:val="clear" w:color="auto" w:fill="auto"/>
                  <w:vAlign w:val="center"/>
                  <w:hideMark/>
                </w:tcPr>
                <w:p w14:paraId="03731420"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Hỗ trợ khác</w:t>
                  </w:r>
                </w:p>
              </w:tc>
            </w:tr>
            <w:tr w:rsidR="00793EA3" w:rsidRPr="002763C3" w14:paraId="2D77705C" w14:textId="77777777" w:rsidTr="005009BF">
              <w:trPr>
                <w:trHeight w:val="1886"/>
              </w:trPr>
              <w:tc>
                <w:tcPr>
                  <w:tcW w:w="313" w:type="pct"/>
                  <w:vMerge/>
                  <w:vAlign w:val="center"/>
                  <w:hideMark/>
                </w:tcPr>
                <w:p w14:paraId="1EB56185" w14:textId="77777777" w:rsidR="006B049F" w:rsidRPr="002763C3" w:rsidRDefault="006B049F" w:rsidP="006B049F">
                  <w:pPr>
                    <w:framePr w:hSpace="180" w:wrap="around" w:hAnchor="margin" w:y="-516"/>
                    <w:spacing w:after="0" w:line="240" w:lineRule="auto"/>
                    <w:rPr>
                      <w:rFonts w:ascii="Times New Roman" w:eastAsia="Times New Roman" w:hAnsi="Times New Roman" w:cs="Times New Roman"/>
                      <w:b/>
                      <w:bCs/>
                    </w:rPr>
                  </w:pPr>
                </w:p>
              </w:tc>
              <w:tc>
                <w:tcPr>
                  <w:tcW w:w="748" w:type="pct"/>
                  <w:vMerge/>
                  <w:vAlign w:val="center"/>
                  <w:hideMark/>
                </w:tcPr>
                <w:p w14:paraId="2F6AE2B1" w14:textId="77777777" w:rsidR="006B049F" w:rsidRPr="002763C3" w:rsidRDefault="006B049F" w:rsidP="006B049F">
                  <w:pPr>
                    <w:framePr w:hSpace="180" w:wrap="around" w:hAnchor="margin" w:y="-516"/>
                    <w:spacing w:after="0" w:line="240" w:lineRule="auto"/>
                    <w:rPr>
                      <w:rFonts w:ascii="Times New Roman" w:eastAsia="Times New Roman" w:hAnsi="Times New Roman" w:cs="Times New Roman"/>
                      <w:b/>
                      <w:bCs/>
                    </w:rPr>
                  </w:pPr>
                </w:p>
              </w:tc>
              <w:tc>
                <w:tcPr>
                  <w:tcW w:w="538" w:type="pct"/>
                  <w:vMerge/>
                  <w:vAlign w:val="center"/>
                  <w:hideMark/>
                </w:tcPr>
                <w:p w14:paraId="32875CB2" w14:textId="77777777" w:rsidR="006B049F" w:rsidRPr="002763C3" w:rsidRDefault="006B049F" w:rsidP="006B049F">
                  <w:pPr>
                    <w:framePr w:hSpace="180" w:wrap="around" w:hAnchor="margin" w:y="-516"/>
                    <w:spacing w:after="0" w:line="240" w:lineRule="auto"/>
                    <w:rPr>
                      <w:rFonts w:ascii="Times New Roman" w:eastAsia="Times New Roman" w:hAnsi="Times New Roman" w:cs="Times New Roman"/>
                      <w:b/>
                      <w:bCs/>
                    </w:rPr>
                  </w:pPr>
                </w:p>
              </w:tc>
              <w:tc>
                <w:tcPr>
                  <w:tcW w:w="531" w:type="pct"/>
                  <w:vMerge/>
                  <w:vAlign w:val="center"/>
                  <w:hideMark/>
                </w:tcPr>
                <w:p w14:paraId="0DFBDB94" w14:textId="77777777" w:rsidR="006B049F" w:rsidRPr="005009BF" w:rsidRDefault="006B049F" w:rsidP="006B049F">
                  <w:pPr>
                    <w:framePr w:hSpace="180" w:wrap="around" w:hAnchor="margin" w:y="-516"/>
                    <w:spacing w:after="0" w:line="240" w:lineRule="auto"/>
                    <w:rPr>
                      <w:rFonts w:ascii="Times New Roman" w:eastAsia="Times New Roman" w:hAnsi="Times New Roman" w:cs="Times New Roman"/>
                      <w:bCs/>
                    </w:rPr>
                  </w:pPr>
                </w:p>
              </w:tc>
              <w:tc>
                <w:tcPr>
                  <w:tcW w:w="486" w:type="pct"/>
                  <w:vMerge/>
                  <w:vAlign w:val="center"/>
                  <w:hideMark/>
                </w:tcPr>
                <w:p w14:paraId="1223781D" w14:textId="77777777" w:rsidR="006B049F" w:rsidRPr="005009BF" w:rsidRDefault="006B049F" w:rsidP="006B049F">
                  <w:pPr>
                    <w:framePr w:hSpace="180" w:wrap="around" w:hAnchor="margin" w:y="-516"/>
                    <w:spacing w:after="0" w:line="240" w:lineRule="auto"/>
                    <w:rPr>
                      <w:rFonts w:ascii="Times New Roman" w:eastAsia="Times New Roman" w:hAnsi="Times New Roman" w:cs="Times New Roman"/>
                      <w:bCs/>
                    </w:rPr>
                  </w:pPr>
                </w:p>
              </w:tc>
              <w:tc>
                <w:tcPr>
                  <w:tcW w:w="531" w:type="pct"/>
                  <w:vMerge/>
                  <w:vAlign w:val="center"/>
                  <w:hideMark/>
                </w:tcPr>
                <w:p w14:paraId="75C39E9D" w14:textId="77777777" w:rsidR="006B049F" w:rsidRPr="005009BF" w:rsidRDefault="006B049F" w:rsidP="006B049F">
                  <w:pPr>
                    <w:framePr w:hSpace="180" w:wrap="around" w:hAnchor="margin" w:y="-516"/>
                    <w:spacing w:after="0" w:line="240" w:lineRule="auto"/>
                    <w:rPr>
                      <w:rFonts w:ascii="Times New Roman" w:eastAsia="Times New Roman" w:hAnsi="Times New Roman" w:cs="Times New Roman"/>
                      <w:bCs/>
                    </w:rPr>
                  </w:pPr>
                </w:p>
              </w:tc>
              <w:tc>
                <w:tcPr>
                  <w:tcW w:w="259" w:type="pct"/>
                  <w:vMerge/>
                  <w:vAlign w:val="center"/>
                  <w:hideMark/>
                </w:tcPr>
                <w:p w14:paraId="6CA8E212" w14:textId="77777777" w:rsidR="006B049F" w:rsidRPr="005009BF" w:rsidRDefault="006B049F" w:rsidP="006B049F">
                  <w:pPr>
                    <w:framePr w:hSpace="180" w:wrap="around" w:hAnchor="margin" w:y="-516"/>
                    <w:spacing w:after="0" w:line="240" w:lineRule="auto"/>
                    <w:rPr>
                      <w:rFonts w:ascii="Times New Roman" w:eastAsia="Times New Roman" w:hAnsi="Times New Roman" w:cs="Times New Roman"/>
                      <w:bCs/>
                    </w:rPr>
                  </w:pPr>
                </w:p>
              </w:tc>
              <w:tc>
                <w:tcPr>
                  <w:tcW w:w="486" w:type="pct"/>
                  <w:vMerge/>
                  <w:vAlign w:val="center"/>
                  <w:hideMark/>
                </w:tcPr>
                <w:p w14:paraId="25F5C241" w14:textId="77777777" w:rsidR="006B049F" w:rsidRPr="005009BF" w:rsidRDefault="006B049F" w:rsidP="006B049F">
                  <w:pPr>
                    <w:framePr w:hSpace="180" w:wrap="around" w:hAnchor="margin" w:y="-516"/>
                    <w:spacing w:after="0" w:line="240" w:lineRule="auto"/>
                    <w:rPr>
                      <w:rFonts w:ascii="Times New Roman" w:eastAsia="Times New Roman" w:hAnsi="Times New Roman" w:cs="Times New Roman"/>
                      <w:bCs/>
                    </w:rPr>
                  </w:pPr>
                </w:p>
              </w:tc>
              <w:tc>
                <w:tcPr>
                  <w:tcW w:w="531" w:type="pct"/>
                  <w:vMerge/>
                  <w:vAlign w:val="center"/>
                  <w:hideMark/>
                </w:tcPr>
                <w:p w14:paraId="6029F8E0" w14:textId="77777777" w:rsidR="006B049F" w:rsidRPr="005009BF" w:rsidRDefault="006B049F" w:rsidP="006B049F">
                  <w:pPr>
                    <w:framePr w:hSpace="180" w:wrap="around" w:hAnchor="margin" w:y="-516"/>
                    <w:spacing w:after="0" w:line="240" w:lineRule="auto"/>
                    <w:rPr>
                      <w:rFonts w:ascii="Times New Roman" w:eastAsia="Times New Roman" w:hAnsi="Times New Roman" w:cs="Times New Roman"/>
                      <w:bCs/>
                    </w:rPr>
                  </w:pPr>
                </w:p>
              </w:tc>
              <w:tc>
                <w:tcPr>
                  <w:tcW w:w="247" w:type="pct"/>
                  <w:shd w:val="clear" w:color="auto" w:fill="auto"/>
                  <w:vAlign w:val="center"/>
                  <w:hideMark/>
                </w:tcPr>
                <w:p w14:paraId="453D8B3B"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Hỗ trợ kinh phí tạm cư</w:t>
                  </w:r>
                </w:p>
              </w:tc>
              <w:tc>
                <w:tcPr>
                  <w:tcW w:w="332" w:type="pct"/>
                  <w:shd w:val="clear" w:color="auto" w:fill="auto"/>
                  <w:vAlign w:val="center"/>
                  <w:hideMark/>
                </w:tcPr>
                <w:p w14:paraId="651338D0" w14:textId="77777777" w:rsidR="006B049F" w:rsidRPr="005009BF" w:rsidRDefault="006B049F" w:rsidP="006B049F">
                  <w:pPr>
                    <w:framePr w:hSpace="180" w:wrap="around" w:hAnchor="margin" w:y="-516"/>
                    <w:spacing w:after="0" w:line="240" w:lineRule="auto"/>
                    <w:jc w:val="center"/>
                    <w:rPr>
                      <w:rFonts w:ascii="Times New Roman" w:eastAsia="Times New Roman" w:hAnsi="Times New Roman" w:cs="Times New Roman"/>
                      <w:bCs/>
                    </w:rPr>
                  </w:pPr>
                  <w:r w:rsidRPr="005009BF">
                    <w:rPr>
                      <w:rFonts w:ascii="Times New Roman" w:eastAsia="Times New Roman" w:hAnsi="Times New Roman" w:cs="Times New Roman"/>
                      <w:bCs/>
                    </w:rPr>
                    <w:t>Hỗ trợ di chuyển mộ</w:t>
                  </w:r>
                </w:p>
              </w:tc>
            </w:tr>
            <w:tr w:rsidR="00793EA3" w:rsidRPr="002763C3" w14:paraId="3A6A2582" w14:textId="77777777" w:rsidTr="005009BF">
              <w:trPr>
                <w:trHeight w:val="855"/>
              </w:trPr>
              <w:tc>
                <w:tcPr>
                  <w:tcW w:w="1061" w:type="pct"/>
                  <w:gridSpan w:val="2"/>
                  <w:shd w:val="clear" w:color="auto" w:fill="auto"/>
                  <w:noWrap/>
                  <w:vAlign w:val="center"/>
                  <w:hideMark/>
                </w:tcPr>
                <w:p w14:paraId="5A1E495E" w14:textId="4F6FA8F9"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Tổng Chi phí BT, HT</w:t>
                  </w:r>
                  <w:r w:rsidR="004A5D23" w:rsidRPr="002763C3">
                    <w:rPr>
                      <w:rFonts w:ascii="Times New Roman" w:eastAsia="Times New Roman" w:hAnsi="Times New Roman" w:cs="Times New Roman"/>
                      <w:b/>
                      <w:bCs/>
                      <w:sz w:val="24"/>
                      <w:szCs w:val="24"/>
                    </w:rPr>
                    <w:t>,</w:t>
                  </w:r>
                  <w:r w:rsidRPr="002763C3">
                    <w:rPr>
                      <w:rFonts w:ascii="Times New Roman" w:eastAsia="Times New Roman" w:hAnsi="Times New Roman" w:cs="Times New Roman"/>
                      <w:b/>
                      <w:bCs/>
                      <w:sz w:val="24"/>
                      <w:szCs w:val="24"/>
                    </w:rPr>
                    <w:t xml:space="preserve"> TĐC</w:t>
                  </w:r>
                </w:p>
              </w:tc>
              <w:tc>
                <w:tcPr>
                  <w:tcW w:w="538" w:type="pct"/>
                  <w:shd w:val="clear" w:color="auto" w:fill="auto"/>
                  <w:noWrap/>
                  <w:vAlign w:val="center"/>
                  <w:hideMark/>
                </w:tcPr>
                <w:p w14:paraId="56F19415"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775.829.000</w:t>
                  </w:r>
                </w:p>
              </w:tc>
              <w:tc>
                <w:tcPr>
                  <w:tcW w:w="531" w:type="pct"/>
                  <w:shd w:val="clear" w:color="auto" w:fill="auto"/>
                  <w:noWrap/>
                  <w:vAlign w:val="center"/>
                  <w:hideMark/>
                </w:tcPr>
                <w:p w14:paraId="0CCAC9EA"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119.189.000</w:t>
                  </w:r>
                </w:p>
              </w:tc>
              <w:tc>
                <w:tcPr>
                  <w:tcW w:w="486" w:type="pct"/>
                  <w:shd w:val="clear" w:color="auto" w:fill="auto"/>
                  <w:noWrap/>
                  <w:vAlign w:val="center"/>
                  <w:hideMark/>
                </w:tcPr>
                <w:p w14:paraId="5AB0D924"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17.348.000</w:t>
                  </w:r>
                </w:p>
              </w:tc>
              <w:tc>
                <w:tcPr>
                  <w:tcW w:w="531" w:type="pct"/>
                  <w:shd w:val="clear" w:color="auto" w:fill="auto"/>
                  <w:noWrap/>
                  <w:vAlign w:val="center"/>
                  <w:hideMark/>
                </w:tcPr>
                <w:p w14:paraId="4D8730B0"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115.397.000</w:t>
                  </w:r>
                </w:p>
              </w:tc>
              <w:tc>
                <w:tcPr>
                  <w:tcW w:w="259" w:type="pct"/>
                  <w:shd w:val="clear" w:color="auto" w:fill="auto"/>
                  <w:noWrap/>
                  <w:vAlign w:val="center"/>
                  <w:hideMark/>
                </w:tcPr>
                <w:p w14:paraId="5663BE61"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0</w:t>
                  </w:r>
                </w:p>
              </w:tc>
              <w:tc>
                <w:tcPr>
                  <w:tcW w:w="486" w:type="pct"/>
                  <w:shd w:val="clear" w:color="auto" w:fill="auto"/>
                  <w:noWrap/>
                  <w:vAlign w:val="center"/>
                  <w:hideMark/>
                </w:tcPr>
                <w:p w14:paraId="4B8B8566"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47.137.000</w:t>
                  </w:r>
                </w:p>
              </w:tc>
              <w:tc>
                <w:tcPr>
                  <w:tcW w:w="531" w:type="pct"/>
                  <w:shd w:val="clear" w:color="auto" w:fill="auto"/>
                  <w:noWrap/>
                  <w:vAlign w:val="center"/>
                  <w:hideMark/>
                </w:tcPr>
                <w:p w14:paraId="4289850D"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476.758.000</w:t>
                  </w:r>
                </w:p>
              </w:tc>
              <w:tc>
                <w:tcPr>
                  <w:tcW w:w="247" w:type="pct"/>
                  <w:shd w:val="clear" w:color="auto" w:fill="auto"/>
                  <w:noWrap/>
                  <w:vAlign w:val="center"/>
                  <w:hideMark/>
                </w:tcPr>
                <w:p w14:paraId="30C22C40"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0</w:t>
                  </w:r>
                </w:p>
              </w:tc>
              <w:tc>
                <w:tcPr>
                  <w:tcW w:w="332" w:type="pct"/>
                  <w:shd w:val="clear" w:color="auto" w:fill="auto"/>
                  <w:noWrap/>
                  <w:vAlign w:val="center"/>
                  <w:hideMark/>
                </w:tcPr>
                <w:p w14:paraId="242855A3" w14:textId="77777777" w:rsidR="006B049F" w:rsidRPr="002763C3" w:rsidRDefault="006B049F" w:rsidP="00793EA3">
                  <w:pPr>
                    <w:framePr w:hSpace="180" w:wrap="around" w:hAnchor="margin" w:y="-516"/>
                    <w:spacing w:after="0" w:line="240" w:lineRule="auto"/>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0</w:t>
                  </w:r>
                </w:p>
              </w:tc>
            </w:tr>
            <w:tr w:rsidR="00793EA3" w:rsidRPr="002763C3" w14:paraId="43868AB4" w14:textId="77777777" w:rsidTr="005009BF">
              <w:trPr>
                <w:trHeight w:val="1575"/>
              </w:trPr>
              <w:tc>
                <w:tcPr>
                  <w:tcW w:w="313" w:type="pct"/>
                  <w:shd w:val="clear" w:color="auto" w:fill="auto"/>
                  <w:noWrap/>
                  <w:vAlign w:val="center"/>
                  <w:hideMark/>
                </w:tcPr>
                <w:p w14:paraId="152DB728"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1</w:t>
                  </w:r>
                </w:p>
              </w:tc>
              <w:tc>
                <w:tcPr>
                  <w:tcW w:w="748" w:type="pct"/>
                  <w:shd w:val="clear" w:color="auto" w:fill="auto"/>
                  <w:noWrap/>
                  <w:vAlign w:val="center"/>
                  <w:hideMark/>
                </w:tcPr>
                <w:p w14:paraId="24F24CFB" w14:textId="1EBA3B39" w:rsidR="00E53B47" w:rsidRPr="002763C3" w:rsidRDefault="00E53B47" w:rsidP="00793EA3">
                  <w:pPr>
                    <w:framePr w:hSpace="180" w:wrap="around" w:hAnchor="margin" w:y="-516"/>
                    <w:spacing w:after="0" w:line="240" w:lineRule="auto"/>
                    <w:ind w:right="-156"/>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Bàn Tiến Cường</w:t>
                  </w:r>
                </w:p>
              </w:tc>
              <w:tc>
                <w:tcPr>
                  <w:tcW w:w="538" w:type="pct"/>
                  <w:shd w:val="clear" w:color="auto" w:fill="auto"/>
                  <w:noWrap/>
                  <w:vAlign w:val="center"/>
                  <w:hideMark/>
                </w:tcPr>
                <w:p w14:paraId="7E800994" w14:textId="5DCEAE7E" w:rsidR="00E53B47" w:rsidRPr="002763C3" w:rsidRDefault="00E53B47" w:rsidP="00793EA3">
                  <w:pPr>
                    <w:framePr w:hSpace="180" w:wrap="around" w:hAnchor="margin" w:y="-516"/>
                    <w:spacing w:after="0" w:line="240" w:lineRule="auto"/>
                    <w:ind w:right="-162"/>
                    <w:jc w:val="center"/>
                    <w:rPr>
                      <w:rFonts w:ascii="Times New Roman" w:eastAsia="Times New Roman" w:hAnsi="Times New Roman" w:cs="Times New Roman"/>
                      <w:b/>
                      <w:bCs/>
                      <w:sz w:val="24"/>
                      <w:szCs w:val="24"/>
                    </w:rPr>
                  </w:pPr>
                  <w:r w:rsidRPr="002763C3">
                    <w:rPr>
                      <w:rFonts w:ascii="Times New Roman" w:eastAsia="Times New Roman" w:hAnsi="Times New Roman" w:cs="Times New Roman"/>
                      <w:b/>
                      <w:bCs/>
                      <w:sz w:val="24"/>
                      <w:szCs w:val="24"/>
                    </w:rPr>
                    <w:t>775.829.000</w:t>
                  </w:r>
                </w:p>
              </w:tc>
              <w:tc>
                <w:tcPr>
                  <w:tcW w:w="531" w:type="pct"/>
                  <w:shd w:val="clear" w:color="auto" w:fill="auto"/>
                  <w:noWrap/>
                  <w:vAlign w:val="center"/>
                  <w:hideMark/>
                </w:tcPr>
                <w:p w14:paraId="10FC6F26"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119.189.000</w:t>
                  </w:r>
                </w:p>
              </w:tc>
              <w:tc>
                <w:tcPr>
                  <w:tcW w:w="486" w:type="pct"/>
                  <w:shd w:val="clear" w:color="auto" w:fill="auto"/>
                  <w:noWrap/>
                  <w:vAlign w:val="center"/>
                  <w:hideMark/>
                </w:tcPr>
                <w:p w14:paraId="3F40CC5D"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17.348.000</w:t>
                  </w:r>
                </w:p>
              </w:tc>
              <w:tc>
                <w:tcPr>
                  <w:tcW w:w="531" w:type="pct"/>
                  <w:shd w:val="clear" w:color="auto" w:fill="auto"/>
                  <w:noWrap/>
                  <w:vAlign w:val="center"/>
                  <w:hideMark/>
                </w:tcPr>
                <w:p w14:paraId="33ECD12B"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115.397.000</w:t>
                  </w:r>
                </w:p>
              </w:tc>
              <w:tc>
                <w:tcPr>
                  <w:tcW w:w="259" w:type="pct"/>
                  <w:shd w:val="clear" w:color="auto" w:fill="auto"/>
                  <w:noWrap/>
                  <w:vAlign w:val="center"/>
                  <w:hideMark/>
                </w:tcPr>
                <w:p w14:paraId="1F21401B"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0</w:t>
                  </w:r>
                </w:p>
              </w:tc>
              <w:tc>
                <w:tcPr>
                  <w:tcW w:w="486" w:type="pct"/>
                  <w:shd w:val="clear" w:color="auto" w:fill="auto"/>
                  <w:noWrap/>
                  <w:vAlign w:val="center"/>
                  <w:hideMark/>
                </w:tcPr>
                <w:p w14:paraId="59A50B59"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47.137.000</w:t>
                  </w:r>
                </w:p>
              </w:tc>
              <w:tc>
                <w:tcPr>
                  <w:tcW w:w="531" w:type="pct"/>
                  <w:shd w:val="clear" w:color="auto" w:fill="auto"/>
                  <w:noWrap/>
                  <w:vAlign w:val="center"/>
                  <w:hideMark/>
                </w:tcPr>
                <w:p w14:paraId="2BB1305F"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476.758.000</w:t>
                  </w:r>
                </w:p>
              </w:tc>
              <w:tc>
                <w:tcPr>
                  <w:tcW w:w="247" w:type="pct"/>
                  <w:shd w:val="clear" w:color="auto" w:fill="auto"/>
                  <w:noWrap/>
                  <w:vAlign w:val="center"/>
                  <w:hideMark/>
                </w:tcPr>
                <w:p w14:paraId="47997A96"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0</w:t>
                  </w:r>
                </w:p>
              </w:tc>
              <w:tc>
                <w:tcPr>
                  <w:tcW w:w="332" w:type="pct"/>
                  <w:shd w:val="clear" w:color="auto" w:fill="auto"/>
                  <w:noWrap/>
                  <w:vAlign w:val="center"/>
                  <w:hideMark/>
                </w:tcPr>
                <w:p w14:paraId="6600B0AB" w14:textId="77777777" w:rsidR="00E53B47" w:rsidRPr="002763C3" w:rsidRDefault="00E53B47" w:rsidP="00793EA3">
                  <w:pPr>
                    <w:framePr w:hSpace="180" w:wrap="around" w:hAnchor="margin" w:y="-516"/>
                    <w:spacing w:after="0" w:line="240" w:lineRule="auto"/>
                    <w:jc w:val="center"/>
                    <w:rPr>
                      <w:rFonts w:ascii="Times New Roman" w:eastAsia="Times New Roman" w:hAnsi="Times New Roman" w:cs="Times New Roman"/>
                      <w:sz w:val="24"/>
                      <w:szCs w:val="24"/>
                    </w:rPr>
                  </w:pPr>
                  <w:r w:rsidRPr="002763C3">
                    <w:rPr>
                      <w:rFonts w:ascii="Times New Roman" w:eastAsia="Times New Roman" w:hAnsi="Times New Roman" w:cs="Times New Roman"/>
                      <w:sz w:val="24"/>
                      <w:szCs w:val="24"/>
                    </w:rPr>
                    <w:t>0</w:t>
                  </w:r>
                </w:p>
              </w:tc>
            </w:tr>
          </w:tbl>
          <w:p w14:paraId="6DE2D607" w14:textId="77777777" w:rsidR="006B049F" w:rsidRPr="0007587C" w:rsidRDefault="006B049F" w:rsidP="006E5464">
            <w:pPr>
              <w:spacing w:after="0"/>
              <w:jc w:val="center"/>
              <w:rPr>
                <w:rFonts w:ascii="Times New Roman" w:hAnsi="Times New Roman" w:cs="Times New Roman"/>
                <w:b/>
                <w:bCs/>
                <w:sz w:val="28"/>
                <w:szCs w:val="28"/>
              </w:rPr>
            </w:pPr>
          </w:p>
        </w:tc>
      </w:tr>
      <w:tr w:rsidR="006B049F" w:rsidRPr="0007587C" w14:paraId="2A570F21" w14:textId="77777777" w:rsidTr="005009BF">
        <w:trPr>
          <w:trHeight w:val="375"/>
        </w:trPr>
        <w:tc>
          <w:tcPr>
            <w:tcW w:w="5000" w:type="pct"/>
            <w:tcBorders>
              <w:top w:val="nil"/>
              <w:left w:val="nil"/>
              <w:bottom w:val="nil"/>
              <w:right w:val="nil"/>
            </w:tcBorders>
            <w:noWrap/>
            <w:vAlign w:val="bottom"/>
          </w:tcPr>
          <w:p w14:paraId="4271FF2C" w14:textId="77777777" w:rsidR="006B049F" w:rsidRPr="0007587C" w:rsidRDefault="006B049F" w:rsidP="006E5464">
            <w:pPr>
              <w:spacing w:after="0"/>
              <w:jc w:val="center"/>
              <w:rPr>
                <w:rFonts w:ascii="Times New Roman" w:hAnsi="Times New Roman" w:cs="Times New Roman"/>
                <w:b/>
                <w:bCs/>
                <w:sz w:val="28"/>
                <w:szCs w:val="28"/>
              </w:rPr>
            </w:pPr>
          </w:p>
        </w:tc>
      </w:tr>
    </w:tbl>
    <w:p w14:paraId="569A5F26" w14:textId="0E227FC9" w:rsidR="00304A02" w:rsidRPr="000E2EBE" w:rsidRDefault="0030255D" w:rsidP="000E2EBE">
      <w:pPr>
        <w:ind w:firstLine="720"/>
        <w:jc w:val="both"/>
        <w:rPr>
          <w:rFonts w:ascii="Times New Roman" w:hAnsi="Times New Roman" w:cs="Times New Roman"/>
          <w:sz w:val="28"/>
          <w:szCs w:val="28"/>
        </w:rPr>
      </w:pPr>
      <w:r w:rsidRPr="000E2EBE">
        <w:rPr>
          <w:rFonts w:ascii="Times New Roman" w:eastAsia="Times New Roman" w:hAnsi="Times New Roman"/>
          <w:sz w:val="28"/>
          <w:szCs w:val="28"/>
        </w:rPr>
        <w:t xml:space="preserve">Giá đất cụ thể tính tiền bồi thường khi Nhà nước </w:t>
      </w:r>
      <w:r w:rsidR="00B90FC5" w:rsidRPr="000E2EBE">
        <w:rPr>
          <w:rFonts w:ascii="Times New Roman" w:eastAsia="Times New Roman" w:hAnsi="Times New Roman"/>
          <w:sz w:val="28"/>
          <w:szCs w:val="28"/>
        </w:rPr>
        <w:t xml:space="preserve">thu hồi đất để thực hiện dự án </w:t>
      </w:r>
      <w:r w:rsidR="00B90FC5" w:rsidRPr="000E2EBE">
        <w:rPr>
          <w:rStyle w:val="fontstyle01"/>
        </w:rPr>
        <w:t>Đầu tư xây dựng tuyến đường tránh ĐT.226 (Đoạn qua thị trấn Bình Gia, Văn Mịch) và Khu tái định cư, dân cư thị trấn Bình Gia (Địa bàn xã Bình Gia)</w:t>
      </w:r>
      <w:r w:rsidRPr="000E2EBE">
        <w:rPr>
          <w:rFonts w:ascii="Times New Roman" w:eastAsia="Times New Roman" w:hAnsi="Times New Roman"/>
          <w:sz w:val="28"/>
          <w:szCs w:val="28"/>
        </w:rPr>
        <w:t>, được xác định theo báo cáo kết quả xác định giá đất cụ thể và hồ sơ kèm theo, phù hợp quy định của Nghị định số 71/2024/NĐ-CP, Nghị định số 226/2025/NĐ-CP và quy định pháp luật có liên quan.</w:t>
      </w:r>
    </w:p>
    <w:sectPr w:rsidR="00304A02" w:rsidRPr="000E2EBE" w:rsidSect="002763C3">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25"/>
    <w:rsid w:val="0000229F"/>
    <w:rsid w:val="00007EFA"/>
    <w:rsid w:val="0003384D"/>
    <w:rsid w:val="0007587C"/>
    <w:rsid w:val="000E2EBE"/>
    <w:rsid w:val="001031F4"/>
    <w:rsid w:val="00120408"/>
    <w:rsid w:val="00120B8E"/>
    <w:rsid w:val="00136953"/>
    <w:rsid w:val="00137A09"/>
    <w:rsid w:val="00161632"/>
    <w:rsid w:val="00164CCB"/>
    <w:rsid w:val="00195237"/>
    <w:rsid w:val="00197C77"/>
    <w:rsid w:val="001A3A6C"/>
    <w:rsid w:val="001A7F95"/>
    <w:rsid w:val="0021777E"/>
    <w:rsid w:val="002519E8"/>
    <w:rsid w:val="00263B3F"/>
    <w:rsid w:val="002763C3"/>
    <w:rsid w:val="002A1319"/>
    <w:rsid w:val="0030255D"/>
    <w:rsid w:val="00304A02"/>
    <w:rsid w:val="00344FAC"/>
    <w:rsid w:val="003453C7"/>
    <w:rsid w:val="0035125E"/>
    <w:rsid w:val="00375499"/>
    <w:rsid w:val="003F345E"/>
    <w:rsid w:val="00424591"/>
    <w:rsid w:val="00427BF8"/>
    <w:rsid w:val="004369B2"/>
    <w:rsid w:val="00456152"/>
    <w:rsid w:val="0047504E"/>
    <w:rsid w:val="00483792"/>
    <w:rsid w:val="00485568"/>
    <w:rsid w:val="004937F4"/>
    <w:rsid w:val="004A5D23"/>
    <w:rsid w:val="004E2412"/>
    <w:rsid w:val="005009BF"/>
    <w:rsid w:val="00554525"/>
    <w:rsid w:val="00584D0C"/>
    <w:rsid w:val="005A4D6E"/>
    <w:rsid w:val="005C66C1"/>
    <w:rsid w:val="006A3D26"/>
    <w:rsid w:val="006A696D"/>
    <w:rsid w:val="006B049F"/>
    <w:rsid w:val="006C78D8"/>
    <w:rsid w:val="006E5464"/>
    <w:rsid w:val="007755F5"/>
    <w:rsid w:val="00793EA3"/>
    <w:rsid w:val="007F6FF7"/>
    <w:rsid w:val="00825A1A"/>
    <w:rsid w:val="00881162"/>
    <w:rsid w:val="008F689F"/>
    <w:rsid w:val="00902650"/>
    <w:rsid w:val="00921494"/>
    <w:rsid w:val="00927D5D"/>
    <w:rsid w:val="00992945"/>
    <w:rsid w:val="009A4B45"/>
    <w:rsid w:val="009B6CF8"/>
    <w:rsid w:val="009C5863"/>
    <w:rsid w:val="00A25718"/>
    <w:rsid w:val="00A263A0"/>
    <w:rsid w:val="00A46E34"/>
    <w:rsid w:val="00A472C1"/>
    <w:rsid w:val="00A75326"/>
    <w:rsid w:val="00A9567B"/>
    <w:rsid w:val="00AC30BA"/>
    <w:rsid w:val="00AC5D69"/>
    <w:rsid w:val="00B02F8A"/>
    <w:rsid w:val="00B132D5"/>
    <w:rsid w:val="00B679C2"/>
    <w:rsid w:val="00B90FC5"/>
    <w:rsid w:val="00C64C28"/>
    <w:rsid w:val="00C82F52"/>
    <w:rsid w:val="00CC4F4D"/>
    <w:rsid w:val="00CD040D"/>
    <w:rsid w:val="00CD2715"/>
    <w:rsid w:val="00D107A5"/>
    <w:rsid w:val="00D34A3B"/>
    <w:rsid w:val="00D406EC"/>
    <w:rsid w:val="00DD3607"/>
    <w:rsid w:val="00E53B47"/>
    <w:rsid w:val="00E91594"/>
    <w:rsid w:val="00E93B55"/>
    <w:rsid w:val="00F17FF5"/>
    <w:rsid w:val="00F34446"/>
    <w:rsid w:val="00F561B4"/>
    <w:rsid w:val="00F969A9"/>
    <w:rsid w:val="00FB3F99"/>
    <w:rsid w:val="00FC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CC4F4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CC4F4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1194">
      <w:bodyDiv w:val="1"/>
      <w:marLeft w:val="0"/>
      <w:marRight w:val="0"/>
      <w:marTop w:val="0"/>
      <w:marBottom w:val="0"/>
      <w:divBdr>
        <w:top w:val="none" w:sz="0" w:space="0" w:color="auto"/>
        <w:left w:val="none" w:sz="0" w:space="0" w:color="auto"/>
        <w:bottom w:val="none" w:sz="0" w:space="0" w:color="auto"/>
        <w:right w:val="none" w:sz="0" w:space="0" w:color="auto"/>
      </w:divBdr>
    </w:div>
    <w:div w:id="575895246">
      <w:bodyDiv w:val="1"/>
      <w:marLeft w:val="0"/>
      <w:marRight w:val="0"/>
      <w:marTop w:val="0"/>
      <w:marBottom w:val="0"/>
      <w:divBdr>
        <w:top w:val="none" w:sz="0" w:space="0" w:color="auto"/>
        <w:left w:val="none" w:sz="0" w:space="0" w:color="auto"/>
        <w:bottom w:val="none" w:sz="0" w:space="0" w:color="auto"/>
        <w:right w:val="none" w:sz="0" w:space="0" w:color="auto"/>
      </w:divBdr>
    </w:div>
    <w:div w:id="695545497">
      <w:bodyDiv w:val="1"/>
      <w:marLeft w:val="0"/>
      <w:marRight w:val="0"/>
      <w:marTop w:val="0"/>
      <w:marBottom w:val="0"/>
      <w:divBdr>
        <w:top w:val="none" w:sz="0" w:space="0" w:color="auto"/>
        <w:left w:val="none" w:sz="0" w:space="0" w:color="auto"/>
        <w:bottom w:val="none" w:sz="0" w:space="0" w:color="auto"/>
        <w:right w:val="none" w:sz="0" w:space="0" w:color="auto"/>
      </w:divBdr>
    </w:div>
    <w:div w:id="727385741">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375275439">
      <w:bodyDiv w:val="1"/>
      <w:marLeft w:val="0"/>
      <w:marRight w:val="0"/>
      <w:marTop w:val="0"/>
      <w:marBottom w:val="0"/>
      <w:divBdr>
        <w:top w:val="none" w:sz="0" w:space="0" w:color="auto"/>
        <w:left w:val="none" w:sz="0" w:space="0" w:color="auto"/>
        <w:bottom w:val="none" w:sz="0" w:space="0" w:color="auto"/>
        <w:right w:val="none" w:sz="0" w:space="0" w:color="auto"/>
      </w:divBdr>
    </w:div>
    <w:div w:id="14799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Cường Vương</dc:creator>
  <cp:keywords/>
  <dc:description/>
  <cp:lastModifiedBy>TRUONGVX</cp:lastModifiedBy>
  <cp:revision>90</cp:revision>
  <dcterms:created xsi:type="dcterms:W3CDTF">2025-11-25T03:09:00Z</dcterms:created>
  <dcterms:modified xsi:type="dcterms:W3CDTF">2026-06-22T09:25:00Z</dcterms:modified>
</cp:coreProperties>
</file>